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87BFB" w14:textId="757D3A12" w:rsidR="000142D3" w:rsidRPr="000142D3" w:rsidRDefault="000142D3" w:rsidP="000142D3">
      <w:pPr>
        <w:jc w:val="center"/>
        <w:rPr>
          <w:b/>
          <w:sz w:val="24"/>
          <w:szCs w:val="24"/>
          <w:u w:val="single"/>
        </w:rPr>
      </w:pPr>
      <w:bookmarkStart w:id="0" w:name="_Hlk519226856"/>
      <w:bookmarkStart w:id="1" w:name="_GoBack"/>
      <w:bookmarkEnd w:id="1"/>
      <w:r w:rsidRPr="000142D3">
        <w:rPr>
          <w:b/>
          <w:sz w:val="24"/>
          <w:szCs w:val="24"/>
          <w:u w:val="single"/>
        </w:rPr>
        <w:t>HFA CONSULTATIVE FORUM – 6 JUNE 2018</w:t>
      </w:r>
    </w:p>
    <w:p w14:paraId="44D90401" w14:textId="77777777" w:rsidR="00D4779A" w:rsidRPr="000142D3" w:rsidRDefault="00D4779A">
      <w:pPr>
        <w:rPr>
          <w:b/>
          <w:i/>
        </w:rPr>
      </w:pPr>
      <w:r w:rsidRPr="000142D3">
        <w:rPr>
          <w:b/>
          <w:i/>
        </w:rPr>
        <w:t>A consultative forum, convened by HFA on the 6</w:t>
      </w:r>
      <w:r w:rsidRPr="000142D3">
        <w:rPr>
          <w:b/>
          <w:i/>
          <w:vertAlign w:val="superscript"/>
        </w:rPr>
        <w:t>th</w:t>
      </w:r>
      <w:r w:rsidRPr="000142D3">
        <w:rPr>
          <w:b/>
          <w:i/>
        </w:rPr>
        <w:t xml:space="preserve"> June addressed two key issues facing the industry, viz., using big data and analytics to prevent medical scheme fraud; and, BUSA’s plans around presenting its approach to NHI at NEDLAC.</w:t>
      </w:r>
    </w:p>
    <w:p w14:paraId="547B8091" w14:textId="77777777" w:rsidR="000142D3" w:rsidRDefault="00D4779A" w:rsidP="000142D3">
      <w:r>
        <w:t>Lerato Mosiah, HFA CEO introduced</w:t>
      </w:r>
      <w:r w:rsidR="000142D3">
        <w:t xml:space="preserve"> the forum and highlighted HFA’s commitment to thought leadership within the industry, adding that the experts at this forum would help to chart the way forward for HFA.  </w:t>
      </w:r>
    </w:p>
    <w:p w14:paraId="21000B3A" w14:textId="77777777" w:rsidR="00D4779A" w:rsidRDefault="000142D3">
      <w:r>
        <w:t xml:space="preserve">In introducing the </w:t>
      </w:r>
      <w:r w:rsidR="00D4779A">
        <w:t xml:space="preserve">topic of fraud, </w:t>
      </w:r>
      <w:r>
        <w:t xml:space="preserve">Mosiah stated that </w:t>
      </w:r>
      <w:r w:rsidR="00D4779A">
        <w:t>it is HFA’s intention to initiate an industry approach to collecting and sharing information relating to fraud.</w:t>
      </w:r>
    </w:p>
    <w:p w14:paraId="68D056FA" w14:textId="58D61F72" w:rsidR="00380592" w:rsidRPr="00380592" w:rsidRDefault="00380592">
      <w:pPr>
        <w:rPr>
          <w:b/>
          <w:bCs/>
          <w:u w:val="single"/>
        </w:rPr>
      </w:pPr>
      <w:r w:rsidRPr="00380592">
        <w:rPr>
          <w:u w:val="single"/>
        </w:rPr>
        <w:t xml:space="preserve">Using </w:t>
      </w:r>
      <w:r w:rsidRPr="00380592">
        <w:rPr>
          <w:b/>
          <w:bCs/>
          <w:u w:val="single"/>
        </w:rPr>
        <w:t>BIG DATA</w:t>
      </w:r>
      <w:r w:rsidRPr="00380592">
        <w:rPr>
          <w:u w:val="single"/>
        </w:rPr>
        <w:t xml:space="preserve"> for </w:t>
      </w:r>
      <w:r w:rsidRPr="00380592">
        <w:rPr>
          <w:b/>
          <w:bCs/>
          <w:u w:val="single"/>
        </w:rPr>
        <w:t>BIG GAINS</w:t>
      </w:r>
      <w:r w:rsidRPr="00380592">
        <w:rPr>
          <w:u w:val="single"/>
        </w:rPr>
        <w:t xml:space="preserve"> in preventing </w:t>
      </w:r>
      <w:r w:rsidRPr="00380592">
        <w:rPr>
          <w:b/>
          <w:bCs/>
          <w:u w:val="single"/>
        </w:rPr>
        <w:t xml:space="preserve">MEDICAL SCHEME FRAUD </w:t>
      </w:r>
    </w:p>
    <w:p w14:paraId="19BB6DAA" w14:textId="1C82968B" w:rsidR="00801730" w:rsidRDefault="00380592">
      <w:r w:rsidRPr="00380592">
        <w:rPr>
          <w:b/>
        </w:rPr>
        <w:t>Mariu</w:t>
      </w:r>
      <w:r w:rsidR="00D4779A" w:rsidRPr="00380592">
        <w:rPr>
          <w:b/>
        </w:rPr>
        <w:t>s Smit</w:t>
      </w:r>
      <w:r w:rsidR="00D4779A">
        <w:t xml:space="preserve">, Discovery’s Head of Group Forensic </w:t>
      </w:r>
      <w:r w:rsidR="00801730">
        <w:t>agreed that a collective approach to fraud is the most effective way of investigation and prevention and added that combatting fraud should not be perceived as a competitive issue but rather as a collaborative issue.</w:t>
      </w:r>
    </w:p>
    <w:p w14:paraId="466AD212" w14:textId="77777777" w:rsidR="0087576B" w:rsidRDefault="00801730">
      <w:r>
        <w:t>Smit went on to explain that the w</w:t>
      </w:r>
      <w:r w:rsidR="0087576B">
        <w:t>orld of fraud management has changed</w:t>
      </w:r>
      <w:r>
        <w:t>, with big data and AI being the technologies of the day, adding that the fraudsters were becoming more sophisticated and therefore the traditional approach to managing fraud was often no longer effective.</w:t>
      </w:r>
    </w:p>
    <w:p w14:paraId="0B09E90A" w14:textId="77777777" w:rsidR="0087576B" w:rsidRDefault="00801730">
      <w:r>
        <w:t xml:space="preserve">Although there can be no ‘one size fits all’ approach, Smit said that where previously 60%-70% of Discovery’s cases were </w:t>
      </w:r>
      <w:r w:rsidR="007059D1">
        <w:t>because of</w:t>
      </w:r>
      <w:r>
        <w:t xml:space="preserve"> tip-offs and profiling, 80% of their current cases are </w:t>
      </w:r>
      <w:r w:rsidR="007059D1">
        <w:t>because of</w:t>
      </w:r>
      <w:r>
        <w:t xml:space="preserve"> analytics.  </w:t>
      </w:r>
      <w:r w:rsidR="0003117F">
        <w:t xml:space="preserve">He </w:t>
      </w:r>
      <w:r>
        <w:t xml:space="preserve">added that while there were many tools available, it is how these tools are used that counts.  </w:t>
      </w:r>
      <w:r w:rsidR="0087576B">
        <w:t xml:space="preserve"> </w:t>
      </w:r>
    </w:p>
    <w:p w14:paraId="163DD8B6" w14:textId="77777777" w:rsidR="0003117F" w:rsidRDefault="0003117F">
      <w:r>
        <w:t xml:space="preserve">While the types of fraud committed were well known to everyone, Smit cautioned against focussing </w:t>
      </w:r>
      <w:r w:rsidR="00A73778">
        <w:t xml:space="preserve">only </w:t>
      </w:r>
      <w:r>
        <w:t>on the ‘low hanging fruit’</w:t>
      </w:r>
      <w:r w:rsidR="001A39D2">
        <w:t xml:space="preserve"> stressing that the more complex types of fraud also needed to be addressed.  </w:t>
      </w:r>
      <w:r>
        <w:t>He also cautioned against viewing fraud in a one-dimensional way, saying that if a claim was being examined, i.e. quantity; tariff code; nappi code; provider, etc., it should be looked at not only from the member data set, but also the doctor data set and the hospital data set</w:t>
      </w:r>
      <w:r w:rsidR="00F657C8">
        <w:t xml:space="preserve"> for instance</w:t>
      </w:r>
      <w:r>
        <w:t xml:space="preserve">.  He said that including analysis from unconventional data sets, like social media, could assist in the investigation, adding that Discovery’s research showed that people who are very active </w:t>
      </w:r>
      <w:r w:rsidR="00887C85" w:rsidRPr="0020409A">
        <w:t xml:space="preserve">on social media platforms such as </w:t>
      </w:r>
      <w:r w:rsidR="002B237B">
        <w:t xml:space="preserve">Twitter </w:t>
      </w:r>
      <w:r>
        <w:t xml:space="preserve">are four times more likely to perpetrate some </w:t>
      </w:r>
      <w:r w:rsidR="002B237B">
        <w:t xml:space="preserve">form </w:t>
      </w:r>
      <w:r>
        <w:t xml:space="preserve">of fraud.  </w:t>
      </w:r>
    </w:p>
    <w:p w14:paraId="5DAF7ACF" w14:textId="77777777" w:rsidR="001A39D2" w:rsidRDefault="001A39D2">
      <w:r>
        <w:t xml:space="preserve">Smit said that the figures being </w:t>
      </w:r>
      <w:r w:rsidR="00887C85">
        <w:t>reported</w:t>
      </w:r>
      <w:r>
        <w:t xml:space="preserve"> in the press relating to the extent of fraud were a ‘thumb-suck’ as nobody knows the actual extent </w:t>
      </w:r>
      <w:r w:rsidR="002B237B">
        <w:t xml:space="preserve">of the fraud </w:t>
      </w:r>
      <w:r>
        <w:t>as it encompasses all types of fraud, wastage and abuse of the system, which includes systemic issues, like over</w:t>
      </w:r>
      <w:r w:rsidR="002B237B">
        <w:t>-</w:t>
      </w:r>
      <w:r>
        <w:t>servicing</w:t>
      </w:r>
      <w:r w:rsidR="00887C85">
        <w:t xml:space="preserve"> by providers</w:t>
      </w:r>
      <w:r w:rsidR="002B237B">
        <w:t xml:space="preserve"> of healthcare</w:t>
      </w:r>
      <w:r>
        <w:t xml:space="preserve">.  </w:t>
      </w:r>
    </w:p>
    <w:p w14:paraId="05F407B2" w14:textId="77777777" w:rsidR="0020409A" w:rsidRDefault="0020409A"/>
    <w:p w14:paraId="300735FC" w14:textId="7A46D46E" w:rsidR="002D6897" w:rsidRDefault="001A39D2">
      <w:r>
        <w:lastRenderedPageBreak/>
        <w:t>Smit said, however</w:t>
      </w:r>
      <w:r w:rsidR="00887C85">
        <w:t>,</w:t>
      </w:r>
      <w:r>
        <w:t xml:space="preserve"> that from Discovery Health’s point of view, the fraud that they had found had </w:t>
      </w:r>
      <w:r w:rsidR="002B237B">
        <w:t xml:space="preserve">increased </w:t>
      </w:r>
      <w:r>
        <w:t xml:space="preserve">from R351 million in 2015 to R570 million in 2017, and in addition, a further R3.7 </w:t>
      </w:r>
      <w:r w:rsidR="00F657C8">
        <w:t>billion</w:t>
      </w:r>
      <w:r>
        <w:t xml:space="preserve"> had been saved due to the ‘halo effect’, i.e.  providers knowing that they were being tracked.  He added that if fraud was being managed at an industry level, the halo effect would be exponential and therefore the entire industry would benefit.</w:t>
      </w:r>
    </w:p>
    <w:p w14:paraId="06A5E438" w14:textId="6B4A5944" w:rsidR="00EF0644" w:rsidRDefault="009D02D7">
      <w:r>
        <w:t>Smit reminded the audience that the impact of fraud on contributions is significant and added that an an</w:t>
      </w:r>
      <w:r w:rsidR="002D6897">
        <w:t>alysis on</w:t>
      </w:r>
      <w:r>
        <w:t xml:space="preserve"> the impact of D</w:t>
      </w:r>
      <w:r w:rsidR="0020409A">
        <w:t xml:space="preserve">iscovery </w:t>
      </w:r>
      <w:r>
        <w:t>H</w:t>
      </w:r>
      <w:r w:rsidR="0020409A">
        <w:t>ealth</w:t>
      </w:r>
      <w:r>
        <w:t xml:space="preserve"> not making the recoveries it has, would have resulted in </w:t>
      </w:r>
      <w:r w:rsidR="00F657C8">
        <w:t>D</w:t>
      </w:r>
      <w:r w:rsidR="0020409A">
        <w:t xml:space="preserve">iscovery </w:t>
      </w:r>
      <w:r w:rsidR="00F657C8">
        <w:t>H</w:t>
      </w:r>
      <w:r w:rsidR="0020409A">
        <w:t xml:space="preserve">ealth </w:t>
      </w:r>
      <w:r w:rsidR="00F657C8">
        <w:t>M</w:t>
      </w:r>
      <w:r w:rsidR="0020409A">
        <w:t xml:space="preserve">edical </w:t>
      </w:r>
      <w:r w:rsidR="00F657C8">
        <w:t>S</w:t>
      </w:r>
      <w:r w:rsidR="0020409A">
        <w:t>cheme</w:t>
      </w:r>
      <w:r>
        <w:t>’s solvency levels dropping to 16% and that premiums would have had to increase by 1</w:t>
      </w:r>
      <w:r w:rsidR="00F657C8">
        <w:t>4</w:t>
      </w:r>
      <w:r>
        <w:t xml:space="preserve">% </w:t>
      </w:r>
      <w:proofErr w:type="gramStart"/>
      <w:r>
        <w:t>in order to</w:t>
      </w:r>
      <w:proofErr w:type="gramEnd"/>
      <w:r>
        <w:t xml:space="preserve"> prevent the decrease in solvency.</w:t>
      </w:r>
    </w:p>
    <w:p w14:paraId="2530F317" w14:textId="46315AC7" w:rsidR="003F1206" w:rsidRDefault="009D02D7" w:rsidP="003F1206">
      <w:r>
        <w:t>Smit said that while there some good forensic management assets in the industry, these were being used in a fractured way and added that an evaluation on these various assets should be conducted to build a collective approach</w:t>
      </w:r>
      <w:r w:rsidR="003F1206">
        <w:t xml:space="preserve"> adding that D</w:t>
      </w:r>
      <w:r w:rsidR="0020409A">
        <w:t xml:space="preserve">iscovery </w:t>
      </w:r>
      <w:r w:rsidR="003F1206">
        <w:t>H</w:t>
      </w:r>
      <w:r w:rsidR="0020409A">
        <w:t>ealth</w:t>
      </w:r>
      <w:r w:rsidR="003F1206">
        <w:t xml:space="preserve"> had developed several tools which could be used by any scheme or administrator.  </w:t>
      </w:r>
      <w:r w:rsidR="00F657C8">
        <w:t>This</w:t>
      </w:r>
      <w:r w:rsidR="003F1206">
        <w:t xml:space="preserve"> </w:t>
      </w:r>
      <w:r w:rsidR="00F657C8">
        <w:t>include</w:t>
      </w:r>
      <w:r w:rsidR="003F1206">
        <w:t xml:space="preserve"> </w:t>
      </w:r>
      <w:r w:rsidR="00F657C8">
        <w:t xml:space="preserve">a case management system, </w:t>
      </w:r>
      <w:r w:rsidR="003F1206">
        <w:t>which contains a database of 85 000 investigations</w:t>
      </w:r>
      <w:r w:rsidR="00F657C8">
        <w:t>.</w:t>
      </w:r>
      <w:r w:rsidR="003F1206">
        <w:t xml:space="preserve">  Another risk rating tool is one which deals with individual practices and which uses 25 metrics for every practice.   The dataset contains all practitioners which </w:t>
      </w:r>
      <w:r w:rsidR="007059D1">
        <w:t>all are</w:t>
      </w:r>
      <w:r w:rsidR="003F1206">
        <w:t xml:space="preserve"> analysed against these metrics on the risk posed to the scheme/administrator.  When an investigation is instigated, this analysis accompanies it to provide a background and a report to work with.  </w:t>
      </w:r>
    </w:p>
    <w:p w14:paraId="61EA7C6A" w14:textId="77777777" w:rsidR="003F1206" w:rsidRDefault="003F1206" w:rsidP="003F1206">
      <w:r>
        <w:t xml:space="preserve">Smit </w:t>
      </w:r>
      <w:r w:rsidR="006E64BF">
        <w:t>also highlighted</w:t>
      </w:r>
      <w:r>
        <w:t xml:space="preserve"> the advantages of having datasets from </w:t>
      </w:r>
      <w:r w:rsidR="006E64BF">
        <w:t>different industries, adding that where a person was defrauding their medical aid, the</w:t>
      </w:r>
      <w:r w:rsidR="00887C85">
        <w:t xml:space="preserve"> likelihood that that they</w:t>
      </w:r>
      <w:r w:rsidR="006E64BF">
        <w:t xml:space="preserve"> may also be defrauding their short-term and long-term insurance providers</w:t>
      </w:r>
      <w:r w:rsidR="00DB3EAC">
        <w:t xml:space="preserve"> was very high</w:t>
      </w:r>
      <w:r w:rsidR="006E64BF">
        <w:t>.</w:t>
      </w:r>
    </w:p>
    <w:p w14:paraId="7BB3DE26" w14:textId="01C6FB77" w:rsidR="006E64BF" w:rsidRDefault="006E64BF" w:rsidP="006E64BF">
      <w:r>
        <w:t>D</w:t>
      </w:r>
      <w:r w:rsidR="0020409A">
        <w:t xml:space="preserve">iscovery </w:t>
      </w:r>
      <w:r>
        <w:t>H</w:t>
      </w:r>
      <w:r w:rsidR="0020409A">
        <w:t>ealth</w:t>
      </w:r>
      <w:r>
        <w:t xml:space="preserve"> also have tools to identify fraud in the allied health and dental fraud, which is a high fraud environment.  </w:t>
      </w:r>
    </w:p>
    <w:p w14:paraId="3E5E4A5F" w14:textId="77777777" w:rsidR="006E64BF" w:rsidRDefault="006E64BF" w:rsidP="006E64BF">
      <w:r>
        <w:t xml:space="preserve">Hospital fraud, he said, is a more complex environment which needs analytics and access to detail </w:t>
      </w:r>
      <w:r w:rsidR="007059D1">
        <w:t>to</w:t>
      </w:r>
      <w:r>
        <w:t xml:space="preserve"> successfully investigate and prevent fraud.</w:t>
      </w:r>
    </w:p>
    <w:p w14:paraId="4257EE03" w14:textId="77777777" w:rsidR="002C22ED" w:rsidRDefault="006E64BF" w:rsidP="002C22ED">
      <w:r>
        <w:t>The advantage of the ‘big data’ model is tha</w:t>
      </w:r>
      <w:r w:rsidR="002C22ED">
        <w:t xml:space="preserve">t it </w:t>
      </w:r>
      <w:r w:rsidR="007059D1">
        <w:t>opens</w:t>
      </w:r>
      <w:r w:rsidR="002C22ED">
        <w:t xml:space="preserve"> a new world in terms of questions to ask and ways to investigate.  It also enables geographical information to be brought into claims data analysis. For instance, b</w:t>
      </w:r>
      <w:r>
        <w:t xml:space="preserve">ig data can show all members linked to a </w:t>
      </w:r>
      <w:proofErr w:type="gramStart"/>
      <w:r>
        <w:t>particular practitioner</w:t>
      </w:r>
      <w:proofErr w:type="gramEnd"/>
      <w:r>
        <w:t xml:space="preserve"> or group of practitioners,</w:t>
      </w:r>
      <w:r w:rsidR="002C22ED">
        <w:t xml:space="preserve"> which would never be the case when looking at an individual set of data.  Google maps also enables us to see where members are situated and even verify that the address in question does in fact belong to the </w:t>
      </w:r>
      <w:r w:rsidR="00CA7671">
        <w:t xml:space="preserve">treating </w:t>
      </w:r>
      <w:r w:rsidR="002C22ED">
        <w:t>practice/facility.</w:t>
      </w:r>
    </w:p>
    <w:p w14:paraId="4252B837" w14:textId="58D819F4" w:rsidR="009D3BE9" w:rsidRDefault="002C22ED" w:rsidP="002C22ED">
      <w:r>
        <w:t>Smit said that D</w:t>
      </w:r>
      <w:r w:rsidR="0020409A">
        <w:t xml:space="preserve">iscovery </w:t>
      </w:r>
      <w:r>
        <w:t>H</w:t>
      </w:r>
      <w:r w:rsidR="0020409A">
        <w:t>ealth</w:t>
      </w:r>
      <w:r>
        <w:t xml:space="preserve"> and Medscheme were already working together on certain aspects of fraud investigation and prevention and cited numerous examples </w:t>
      </w:r>
      <w:r w:rsidR="009D3BE9">
        <w:t>where combined analyses identified fraud which may not have been picked up when analysing the practice individually. Examples of this include a dietician who claimed for more than 50 hours per day.</w:t>
      </w:r>
    </w:p>
    <w:p w14:paraId="7A71E8A0" w14:textId="77777777" w:rsidR="009D3BE9" w:rsidRDefault="009D3BE9" w:rsidP="006E64BF">
      <w:r>
        <w:lastRenderedPageBreak/>
        <w:t>Smit commented that intelligence at the benefit design level could also assist in preventing fraud adding that fraudulent providers defrauded benefit options in different ways, depending on the design.</w:t>
      </w:r>
    </w:p>
    <w:p w14:paraId="7EF6295F" w14:textId="77777777" w:rsidR="002C22ED" w:rsidRDefault="002C22ED" w:rsidP="006E64BF">
      <w:r>
        <w:t xml:space="preserve">Smit commented that the requirement by schemes to take back a member expelled for defrauding the scheme does not help the situation and that it is an issue which should be taken up as a collective. </w:t>
      </w:r>
    </w:p>
    <w:p w14:paraId="449E2D67" w14:textId="31DCB7FE" w:rsidR="00DD3B07" w:rsidRDefault="00DD3B07" w:rsidP="00DD3B07">
      <w:r>
        <w:t>On hospital cash plan fraud, Smit said that a collaboration between D</w:t>
      </w:r>
      <w:r w:rsidR="0020409A">
        <w:t xml:space="preserve">iscovery </w:t>
      </w:r>
      <w:r>
        <w:t>H</w:t>
      </w:r>
      <w:r w:rsidR="0020409A">
        <w:t>ealth</w:t>
      </w:r>
      <w:r>
        <w:t xml:space="preserve"> and insurance providers offering these products found that the average admission rate for cash plan members is up to five times higher than the average</w:t>
      </w:r>
      <w:r w:rsidR="00CA7671">
        <w:t xml:space="preserve"> scheme</w:t>
      </w:r>
      <w:r>
        <w:t xml:space="preserve"> member and that hospital stays are 40-60% longer.  This type of fraud impacts the medical scheme, the insurance provider as well as the employer.  He added that this was an area where the industry could </w:t>
      </w:r>
      <w:r w:rsidR="00CA7671">
        <w:t>effortlessly</w:t>
      </w:r>
      <w:r>
        <w:t xml:space="preserve"> collaborate</w:t>
      </w:r>
      <w:r w:rsidR="00CA7671">
        <w:t xml:space="preserve"> effectively</w:t>
      </w:r>
      <w:r>
        <w:t>.</w:t>
      </w:r>
    </w:p>
    <w:p w14:paraId="0340A70E" w14:textId="327BB6CF" w:rsidR="0060342F" w:rsidRDefault="009D3BE9" w:rsidP="0060342F">
      <w:r>
        <w:t xml:space="preserve">On the way forward, Smit believes that as an industry we could easily come up with a mechanism to identify </w:t>
      </w:r>
      <w:r w:rsidR="0060342F">
        <w:t>five or six</w:t>
      </w:r>
      <w:r>
        <w:t xml:space="preserve"> big cases each year and work as an industry to make sure these cases are taken to the criminal justice system. </w:t>
      </w:r>
      <w:r w:rsidR="0060342F">
        <w:t xml:space="preserve">In this way, costs would be </w:t>
      </w:r>
      <w:r w:rsidR="007059D1">
        <w:t>shared,</w:t>
      </w:r>
      <w:r w:rsidR="0060342F">
        <w:t xml:space="preserve"> and industry processes could be developed.  He suggested that high profile cases should be chosen and publicised as an industry adding that after a few years there would be a pipeline of cases having gone through the courts and the criticism that schemes don’t deal with fraud harshly enough would </w:t>
      </w:r>
      <w:r w:rsidR="00CA7671">
        <w:t>abate</w:t>
      </w:r>
      <w:r w:rsidR="00F657C8">
        <w:t>d</w:t>
      </w:r>
      <w:r w:rsidR="0060342F">
        <w:t>.</w:t>
      </w:r>
    </w:p>
    <w:p w14:paraId="6255875F" w14:textId="77777777" w:rsidR="0060342F" w:rsidRDefault="0060342F" w:rsidP="0060342F">
      <w:r>
        <w:t xml:space="preserve">Smit also suggested that while evaluation of a practice is not legally the responsibility of a scheme, it is a moral responsibility to ensure </w:t>
      </w:r>
      <w:r w:rsidR="00DD3B07">
        <w:t xml:space="preserve">the quality of the practice/facility which members were accessing.  He suggested that the capacity to evaluate practices could be built into the industry as a collective. </w:t>
      </w:r>
    </w:p>
    <w:p w14:paraId="063725B4" w14:textId="77777777" w:rsidR="0060342F" w:rsidRDefault="00DD3B07" w:rsidP="009D02D7">
      <w:r w:rsidRPr="00380592">
        <w:rPr>
          <w:u w:val="single"/>
        </w:rPr>
        <w:t>CASE STUDIES</w:t>
      </w:r>
      <w:r>
        <w:t>:</w:t>
      </w:r>
    </w:p>
    <w:p w14:paraId="0CAE1ADF" w14:textId="77777777" w:rsidR="00DD3B07" w:rsidRDefault="00DD3B07" w:rsidP="009D02D7">
      <w:r>
        <w:t>Smit highlighted several case studies which identified some of the ways in which schemes were being defrauded:</w:t>
      </w:r>
    </w:p>
    <w:p w14:paraId="0E49A47F" w14:textId="77777777" w:rsidR="00C32A85" w:rsidRDefault="00DD3B07" w:rsidP="00DD3B07">
      <w:pPr>
        <w:pStyle w:val="ListParagraph"/>
        <w:numPr>
          <w:ilvl w:val="0"/>
          <w:numId w:val="1"/>
        </w:numPr>
      </w:pPr>
      <w:r>
        <w:t xml:space="preserve">A tip-off led to an analysis to identify template billing (same combination of codes for each patient) and unbundling within a practice. The ICD codes billed did not correlate with the procedure undertaken.  The doctor in question repaid R2.8m.  Smit commented that many providers claimed for PMBs through ICD10 codes even when they were not PMBs, adding that the advantage </w:t>
      </w:r>
      <w:r w:rsidR="00C32A85">
        <w:t>of having a proper repository of information meant that there is a history and thus billing errors can’t be blamed for fraud.  The learning from this case was to produce benchmarks and spike reports on ICD 10 codes.</w:t>
      </w:r>
    </w:p>
    <w:p w14:paraId="3A385A8D" w14:textId="77777777" w:rsidR="00C32A85" w:rsidRDefault="00C32A85" w:rsidP="00C32A85">
      <w:pPr>
        <w:pStyle w:val="ListParagraph"/>
      </w:pPr>
    </w:p>
    <w:p w14:paraId="1EF6B8D4" w14:textId="38750B13" w:rsidR="00C32A85" w:rsidRDefault="00C32A85" w:rsidP="00C32A85">
      <w:pPr>
        <w:pStyle w:val="ListParagraph"/>
        <w:numPr>
          <w:ilvl w:val="0"/>
          <w:numId w:val="1"/>
        </w:numPr>
      </w:pPr>
      <w:r>
        <w:t xml:space="preserve">A false claim submitted by an Ocularist identified that all patients were from a different area and were miners, with the cost per encounter of R15 500 as opposed to a national average of R2 700.  In this instance the members received some </w:t>
      </w:r>
      <w:proofErr w:type="gramStart"/>
      <w:r>
        <w:t>money</w:t>
      </w:r>
      <w:proofErr w:type="gramEnd"/>
      <w:r>
        <w:t xml:space="preserve"> but the practitioner got most of it.  Through routine health checks conducted at the mines, D</w:t>
      </w:r>
      <w:r w:rsidR="00380592">
        <w:t xml:space="preserve">iscovery </w:t>
      </w:r>
      <w:r>
        <w:t>H</w:t>
      </w:r>
      <w:r w:rsidR="00380592">
        <w:t>ealth</w:t>
      </w:r>
      <w:r>
        <w:t xml:space="preserve"> could ascertain that these miners did not have false eyes. A similar situation occurred with hearing aids which found 18 members who had received cash.  An AOD was signed for R350 000 and the 18 employers were dismissed after disciplinary hearing.  These cases served as an example for the rest of the employees.</w:t>
      </w:r>
    </w:p>
    <w:p w14:paraId="7A1D5C2D" w14:textId="77777777" w:rsidR="00C32A85" w:rsidRDefault="00C32A85" w:rsidP="00C32A85">
      <w:pPr>
        <w:pStyle w:val="ListParagraph"/>
      </w:pPr>
    </w:p>
    <w:p w14:paraId="53662F45" w14:textId="634FAA5F" w:rsidR="008334E6" w:rsidRDefault="00C32A85" w:rsidP="00C32A85">
      <w:pPr>
        <w:pStyle w:val="ListParagraph"/>
        <w:numPr>
          <w:ilvl w:val="0"/>
          <w:numId w:val="1"/>
        </w:numPr>
      </w:pPr>
      <w:r>
        <w:t>A billing company for a Clinical technologist was found to be billing at 200% for PMB cases.  D</w:t>
      </w:r>
      <w:r w:rsidR="0020409A">
        <w:t xml:space="preserve">iscovery </w:t>
      </w:r>
      <w:r>
        <w:t>H</w:t>
      </w:r>
      <w:r w:rsidR="0020409A">
        <w:t>ealth</w:t>
      </w:r>
      <w:r>
        <w:t xml:space="preserve"> identified 4 practices whose billing companies were the same. The practitioners in question did not know that their billing company was billing for inflated claims. D</w:t>
      </w:r>
      <w:r w:rsidR="0020409A">
        <w:t xml:space="preserve">iscovery </w:t>
      </w:r>
      <w:r>
        <w:t>H</w:t>
      </w:r>
      <w:r w:rsidR="0020409A">
        <w:t>ealth</w:t>
      </w:r>
      <w:r>
        <w:t xml:space="preserve"> recovered R6.3m on these four practices.  Smit said that billing companies are un</w:t>
      </w:r>
      <w:r w:rsidR="00CA7671">
        <w:t>-</w:t>
      </w:r>
      <w:r w:rsidR="007059D1">
        <w:t>regulated,</w:t>
      </w:r>
      <w:r>
        <w:t xml:space="preserve"> and it is not always easy to identify whether claims are coming from the same billing company adding that this </w:t>
      </w:r>
      <w:r w:rsidR="008334E6">
        <w:t>type of investigation could also be done as an industry.</w:t>
      </w:r>
    </w:p>
    <w:p w14:paraId="6202DD6F" w14:textId="77777777" w:rsidR="008334E6" w:rsidRDefault="008334E6" w:rsidP="009D02D7">
      <w:r>
        <w:t>Smit concluded by stating that it was important to discuss these issues with regulators and others as fraud negatively affected the entire industry.</w:t>
      </w:r>
    </w:p>
    <w:p w14:paraId="22F5C8E9" w14:textId="77777777" w:rsidR="008334E6" w:rsidRDefault="008334E6">
      <w:r>
        <w:t xml:space="preserve">Lerato Mosiah said that HFA was willing and able to coordinate the industry platform and that the HFA would craft and communicate a plan of action so that the industry could demonstrate its collective commitment to fraud prevention by October </w:t>
      </w:r>
      <w:r w:rsidR="00CA7671">
        <w:t xml:space="preserve">2018 </w:t>
      </w:r>
      <w:r>
        <w:t xml:space="preserve">when there is </w:t>
      </w:r>
      <w:r w:rsidR="007059D1">
        <w:t>an</w:t>
      </w:r>
      <w:r>
        <w:t xml:space="preserve"> </w:t>
      </w:r>
      <w:r w:rsidR="00CA7671">
        <w:t>HFA S</w:t>
      </w:r>
      <w:r>
        <w:t xml:space="preserve">ummit </w:t>
      </w:r>
      <w:r w:rsidR="00CA7671">
        <w:t xml:space="preserve">on Fraud, Waste and Abuse </w:t>
      </w:r>
      <w:r>
        <w:t>planned.</w:t>
      </w:r>
    </w:p>
    <w:p w14:paraId="4A296777" w14:textId="0BD20BE3" w:rsidR="008334E6" w:rsidRPr="00380592" w:rsidRDefault="00380592">
      <w:pPr>
        <w:rPr>
          <w:u w:val="single"/>
        </w:rPr>
      </w:pPr>
      <w:r w:rsidRPr="00380592">
        <w:rPr>
          <w:b/>
          <w:bCs/>
          <w:u w:val="single"/>
        </w:rPr>
        <w:t xml:space="preserve">HFA </w:t>
      </w:r>
      <w:r w:rsidRPr="00380592">
        <w:rPr>
          <w:u w:val="single"/>
        </w:rPr>
        <w:t xml:space="preserve">and </w:t>
      </w:r>
      <w:r w:rsidRPr="00380592">
        <w:rPr>
          <w:b/>
          <w:bCs/>
          <w:u w:val="single"/>
        </w:rPr>
        <w:t>BUSA</w:t>
      </w:r>
      <w:r w:rsidRPr="00380592">
        <w:rPr>
          <w:u w:val="single"/>
        </w:rPr>
        <w:t xml:space="preserve">:  </w:t>
      </w:r>
      <w:r w:rsidRPr="00380592">
        <w:rPr>
          <w:b/>
          <w:bCs/>
          <w:u w:val="single"/>
        </w:rPr>
        <w:t>STRATEGIC IMPERATIVES</w:t>
      </w:r>
      <w:r w:rsidRPr="00380592">
        <w:rPr>
          <w:u w:val="single"/>
        </w:rPr>
        <w:t xml:space="preserve"> for the </w:t>
      </w:r>
      <w:r w:rsidRPr="00380592">
        <w:rPr>
          <w:b/>
          <w:bCs/>
          <w:u w:val="single"/>
        </w:rPr>
        <w:t>FUTURE</w:t>
      </w:r>
      <w:r w:rsidRPr="00380592">
        <w:rPr>
          <w:u w:val="single"/>
        </w:rPr>
        <w:t xml:space="preserve"> of the </w:t>
      </w:r>
      <w:r w:rsidRPr="00380592">
        <w:rPr>
          <w:b/>
          <w:bCs/>
          <w:u w:val="single"/>
        </w:rPr>
        <w:t>PRIVATE HEALTH FUNDING SECTOR</w:t>
      </w:r>
    </w:p>
    <w:p w14:paraId="312DDB47" w14:textId="77777777" w:rsidR="0020409A" w:rsidRDefault="0020409A" w:rsidP="0020409A">
      <w:r>
        <w:t>The second item on the Consultative Forum agenda dealt with HFA/BUSA’s engagement on the NHI White Paper.</w:t>
      </w:r>
    </w:p>
    <w:p w14:paraId="4741FEEC" w14:textId="77777777" w:rsidR="0020409A" w:rsidRDefault="0020409A" w:rsidP="0020409A">
      <w:r w:rsidRPr="008334E6">
        <w:rPr>
          <w:b/>
        </w:rPr>
        <w:t>Dr L</w:t>
      </w:r>
      <w:r>
        <w:rPr>
          <w:b/>
        </w:rPr>
        <w:t>aurraine</w:t>
      </w:r>
      <w:r w:rsidRPr="008334E6">
        <w:rPr>
          <w:b/>
        </w:rPr>
        <w:t xml:space="preserve"> Lotter</w:t>
      </w:r>
      <w:r>
        <w:t xml:space="preserve">, who heads up the business engagement on the NHI project, said that the BUSA White Paper submission would be tabled at NEDLAC which had an NHI Task Team that would present to Cabinet on the issue. </w:t>
      </w:r>
    </w:p>
    <w:p w14:paraId="49DD6C31" w14:textId="77777777" w:rsidR="0020409A" w:rsidRDefault="0020409A" w:rsidP="0020409A">
      <w:r>
        <w:t>HFA’s involvement in the process stems from its membership and partnership with BUSA. HFA is represented on the BUSA’s NHI Working Group which is tasked with providing input on the NHI White Paper into the NEDLAC NHI Task Team.</w:t>
      </w:r>
    </w:p>
    <w:p w14:paraId="4E8C6014" w14:textId="77777777" w:rsidR="0020409A" w:rsidRDefault="0020409A" w:rsidP="0020409A">
      <w:r>
        <w:t>Dr Lotter explained that NEDLAC has four constituencies, i.e. government; labour (unions excluding SAFTU; community (youth, environmental, women’s groups etc); and, business (through BUSA).</w:t>
      </w:r>
    </w:p>
    <w:p w14:paraId="7A4EB5A8" w14:textId="77777777" w:rsidR="0020409A" w:rsidRDefault="0020409A" w:rsidP="0020409A">
      <w:r>
        <w:t>She said that in the case of something like NHI there is interest from community constituency as well as the other three constituencies. The Community constituency have strong ideas on what NHI should look like and there are synergies with the business constituency but added that labour had a different approach to NHI.</w:t>
      </w:r>
    </w:p>
    <w:p w14:paraId="389BD86E" w14:textId="77777777" w:rsidR="0020409A" w:rsidRDefault="0020409A" w:rsidP="0020409A">
      <w:r>
        <w:t xml:space="preserve">Lotter stated that although there was already a White Paper, there were many aspects like, principles; financing; provision; governance; and, regulation that needed to be addressed. </w:t>
      </w:r>
    </w:p>
    <w:p w14:paraId="4DCACB1A" w14:textId="77777777" w:rsidR="0020409A" w:rsidRDefault="0020409A" w:rsidP="0020409A">
      <w:r>
        <w:t xml:space="preserve">She added that the DoH had established seven committees made up of individuals with technical expertise, but that labour had opposed that approach as they wanted the committees to be representative in nature. As a result, these committees are not yet operational. </w:t>
      </w:r>
    </w:p>
    <w:p w14:paraId="77DE87CC" w14:textId="77777777" w:rsidR="0020409A" w:rsidRDefault="0020409A" w:rsidP="0020409A">
      <w:r>
        <w:t xml:space="preserve">Lotter continued, saying that the outcome of BUSA’s work in NEDLAC will be fed into those committees.  </w:t>
      </w:r>
    </w:p>
    <w:p w14:paraId="2F0C97C5" w14:textId="77777777" w:rsidR="0020409A" w:rsidRDefault="0020409A" w:rsidP="0020409A">
      <w:r>
        <w:t xml:space="preserve">On the Medical Schemes Amendment Bill, Lotter suggested that, since this Bill was being twinned with the NHI Bill, it should also be brought to NEDLAC so that it can be dealt with in the same way as the NHI Bill. </w:t>
      </w:r>
    </w:p>
    <w:p w14:paraId="11272162" w14:textId="77777777" w:rsidR="0020409A" w:rsidRPr="00B43AB4" w:rsidRDefault="0020409A" w:rsidP="0020409A">
      <w:pPr>
        <w:rPr>
          <w:b/>
        </w:rPr>
      </w:pPr>
      <w:r w:rsidRPr="00F57D1E">
        <w:t>Lotter went on to highlight some of the principles within the White Paper which BUSA was concerned about. One of these was the issue of the Constitutional right to healthcare.  Lotter suggested that, although the right to health was enshrined in the Bill of Rights, it didn’t follow that it had to be free and that it had to be provided by the public sector, adding that healthcare is not a public good in the same way as water is. The state is the custodian of all the water in the country as with mining rights, fisheries, etc., but healthcare cannot be put in the same class as these types of goods.  She said that BUSA believes in UHC but cannot support that the state alone provides this</w:t>
      </w:r>
      <w:r>
        <w:t>.</w:t>
      </w:r>
    </w:p>
    <w:p w14:paraId="253864A6" w14:textId="77777777" w:rsidR="0020409A" w:rsidRDefault="0020409A" w:rsidP="0020409A">
      <w:r>
        <w:t xml:space="preserve">On the issue of costs, Lotter stated that without knowing what is included in NHI, it is impossible to do a costing.  She said that the premise of the white paper seems to be that if the total sum of money in the system is combined then that would be sufficient.  She added, however, that much of the money does not belong to the State.  Taking subsidies away, for example, would equate to expropriation of employee rights without consultation.  Part of BUSA’s task, she said, was to make these points clear to Labour.  </w:t>
      </w:r>
    </w:p>
    <w:p w14:paraId="07B9FBE9" w14:textId="77777777" w:rsidR="0020409A" w:rsidRDefault="0020409A" w:rsidP="0020409A">
      <w:r>
        <w:t>Lotter said that the amendments to the Acts such as the Occupational Diseases Act; Injury on Duty Act; UIF; and, RAF are problematic as these protect people’s future liabilities.</w:t>
      </w:r>
    </w:p>
    <w:p w14:paraId="0501D883" w14:textId="77777777" w:rsidR="0020409A" w:rsidRDefault="0020409A" w:rsidP="0020409A">
      <w:r>
        <w:t>By way of demonstrating BUSA’s concerns, Lotter cited the example of the time it takes for new drugs to be registered, saying that this hampers the ability to have an export market.  She added that government should not be involved in prescribing technology but should rather prescribe outcomes so that innovation can thrive.</w:t>
      </w:r>
    </w:p>
    <w:p w14:paraId="32DBDC47" w14:textId="77777777" w:rsidR="0020409A" w:rsidRDefault="0020409A" w:rsidP="0020409A">
      <w:r>
        <w:t xml:space="preserve">In conclusion, Lotter suggested that Government should partner with BUSA in ushering in UHC and said the private sector could demonstrate its abilities by partnering with the public sector where there were gaps, such as the oncology crisis in KZN.  </w:t>
      </w:r>
    </w:p>
    <w:p w14:paraId="379E5C98" w14:textId="29814729" w:rsidR="0020409A" w:rsidRDefault="0020409A" w:rsidP="0020409A">
      <w:r>
        <w:t>She added that BUSA would be requesting for an anti-corruption initiative such as the proposed industry fraud initiative, once the BUSA anti-corruption pledge had been signed as part of the job summit later this year.</w:t>
      </w:r>
    </w:p>
    <w:p w14:paraId="5F93B534" w14:textId="409B6667" w:rsidR="00380592" w:rsidRDefault="00380592" w:rsidP="0020409A"/>
    <w:p w14:paraId="24B46772" w14:textId="6F89A8E5" w:rsidR="00380592" w:rsidRDefault="00380592" w:rsidP="0020409A">
      <w:r>
        <w:t>Ends.</w:t>
      </w:r>
    </w:p>
    <w:p w14:paraId="51531406" w14:textId="77777777" w:rsidR="0020409A" w:rsidRDefault="0020409A" w:rsidP="0020409A"/>
    <w:p w14:paraId="0653F5F6" w14:textId="5E0F89C0" w:rsidR="0020409A" w:rsidRDefault="0020409A"/>
    <w:p w14:paraId="15246B1C" w14:textId="77777777" w:rsidR="0020409A" w:rsidRDefault="0020409A"/>
    <w:p w14:paraId="08336637" w14:textId="77777777" w:rsidR="00EF0644" w:rsidRDefault="00EF0644"/>
    <w:p w14:paraId="36E4F113" w14:textId="77777777" w:rsidR="00EF0644" w:rsidRDefault="00EF0644"/>
    <w:bookmarkEnd w:id="0"/>
    <w:p w14:paraId="08012D01" w14:textId="77777777" w:rsidR="00EF0644" w:rsidRDefault="00EF0644"/>
    <w:sectPr w:rsidR="00EF064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3BAB0" w14:textId="77777777" w:rsidR="00F532C5" w:rsidRDefault="00F532C5" w:rsidP="00380592">
      <w:pPr>
        <w:spacing w:after="0" w:line="240" w:lineRule="auto"/>
      </w:pPr>
      <w:r>
        <w:separator/>
      </w:r>
    </w:p>
  </w:endnote>
  <w:endnote w:type="continuationSeparator" w:id="0">
    <w:p w14:paraId="32E5545E" w14:textId="77777777" w:rsidR="00F532C5" w:rsidRDefault="00F532C5" w:rsidP="00380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90AE" w14:textId="299154D0" w:rsidR="00380592" w:rsidRDefault="00380592">
    <w:pPr>
      <w:pStyle w:val="Footer"/>
    </w:pPr>
    <w:r>
      <w:t>HFA Consultative Forum – 6 June 2018</w:t>
    </w:r>
  </w:p>
  <w:p w14:paraId="00D95F6A" w14:textId="77777777" w:rsidR="00380592" w:rsidRDefault="00380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47349" w14:textId="77777777" w:rsidR="00F532C5" w:rsidRDefault="00F532C5" w:rsidP="00380592">
      <w:pPr>
        <w:spacing w:after="0" w:line="240" w:lineRule="auto"/>
      </w:pPr>
      <w:r>
        <w:separator/>
      </w:r>
    </w:p>
  </w:footnote>
  <w:footnote w:type="continuationSeparator" w:id="0">
    <w:p w14:paraId="2B71F779" w14:textId="77777777" w:rsidR="00F532C5" w:rsidRDefault="00F532C5" w:rsidP="00380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8ABA" w14:textId="4582FD66" w:rsidR="00380592" w:rsidRDefault="00380592">
    <w:pPr>
      <w:pStyle w:val="Header"/>
    </w:pPr>
    <w:r>
      <w:rPr>
        <w:noProof/>
      </w:rPr>
      <w:drawing>
        <wp:inline distT="0" distB="0" distL="0" distR="0" wp14:anchorId="0E30FDDC" wp14:editId="61B68760">
          <wp:extent cx="1400175" cy="1400175"/>
          <wp:effectExtent l="19050" t="0" r="28575" b="4476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14001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1A737966" w14:textId="77777777" w:rsidR="00380592" w:rsidRDefault="003805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A44CD1"/>
    <w:multiLevelType w:val="hybridMultilevel"/>
    <w:tmpl w:val="191EFD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76B"/>
    <w:rsid w:val="000142D3"/>
    <w:rsid w:val="0003117F"/>
    <w:rsid w:val="000B0C18"/>
    <w:rsid w:val="000B428A"/>
    <w:rsid w:val="000B5021"/>
    <w:rsid w:val="000D5445"/>
    <w:rsid w:val="000E74CA"/>
    <w:rsid w:val="0014350B"/>
    <w:rsid w:val="001A39D2"/>
    <w:rsid w:val="001E55BF"/>
    <w:rsid w:val="0020409A"/>
    <w:rsid w:val="00206D88"/>
    <w:rsid w:val="002251AA"/>
    <w:rsid w:val="00247C89"/>
    <w:rsid w:val="002B237B"/>
    <w:rsid w:val="002C22ED"/>
    <w:rsid w:val="002D6897"/>
    <w:rsid w:val="002E1F28"/>
    <w:rsid w:val="00370130"/>
    <w:rsid w:val="00380592"/>
    <w:rsid w:val="003F1206"/>
    <w:rsid w:val="004655F8"/>
    <w:rsid w:val="00487C49"/>
    <w:rsid w:val="005554D9"/>
    <w:rsid w:val="005A1852"/>
    <w:rsid w:val="005F06B0"/>
    <w:rsid w:val="0060342F"/>
    <w:rsid w:val="006448A8"/>
    <w:rsid w:val="00667348"/>
    <w:rsid w:val="006E64BF"/>
    <w:rsid w:val="007059D1"/>
    <w:rsid w:val="00745801"/>
    <w:rsid w:val="00776F6E"/>
    <w:rsid w:val="007B5969"/>
    <w:rsid w:val="007D6F0E"/>
    <w:rsid w:val="007E5F3E"/>
    <w:rsid w:val="007F0062"/>
    <w:rsid w:val="00801730"/>
    <w:rsid w:val="008053B8"/>
    <w:rsid w:val="008104D4"/>
    <w:rsid w:val="00816667"/>
    <w:rsid w:val="008334E6"/>
    <w:rsid w:val="00872BDE"/>
    <w:rsid w:val="0087576B"/>
    <w:rsid w:val="00887C85"/>
    <w:rsid w:val="009B5FAC"/>
    <w:rsid w:val="009D02D7"/>
    <w:rsid w:val="009D0A7F"/>
    <w:rsid w:val="009D3BE9"/>
    <w:rsid w:val="009D7737"/>
    <w:rsid w:val="009F4F0A"/>
    <w:rsid w:val="00A034BA"/>
    <w:rsid w:val="00A43CF3"/>
    <w:rsid w:val="00A73778"/>
    <w:rsid w:val="00B851A4"/>
    <w:rsid w:val="00BB580A"/>
    <w:rsid w:val="00BF0A03"/>
    <w:rsid w:val="00C043F4"/>
    <w:rsid w:val="00C32A85"/>
    <w:rsid w:val="00CA7671"/>
    <w:rsid w:val="00CE0737"/>
    <w:rsid w:val="00CF0966"/>
    <w:rsid w:val="00D10E68"/>
    <w:rsid w:val="00D20B1F"/>
    <w:rsid w:val="00D4779A"/>
    <w:rsid w:val="00D81E53"/>
    <w:rsid w:val="00DB3EAC"/>
    <w:rsid w:val="00DD3B07"/>
    <w:rsid w:val="00E8355E"/>
    <w:rsid w:val="00EF0644"/>
    <w:rsid w:val="00F532C5"/>
    <w:rsid w:val="00F657C8"/>
    <w:rsid w:val="00FB40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9534"/>
  <w15:chartTrackingRefBased/>
  <w15:docId w15:val="{8661E0B4-0ABA-4AE7-ADF9-5F4DE9994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B07"/>
    <w:pPr>
      <w:ind w:left="720"/>
      <w:contextualSpacing/>
    </w:pPr>
  </w:style>
  <w:style w:type="paragraph" w:styleId="BalloonText">
    <w:name w:val="Balloon Text"/>
    <w:basedOn w:val="Normal"/>
    <w:link w:val="BalloonTextChar"/>
    <w:uiPriority w:val="99"/>
    <w:semiHidden/>
    <w:unhideWhenUsed/>
    <w:rsid w:val="000B50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21"/>
    <w:rPr>
      <w:rFonts w:ascii="Segoe UI" w:hAnsi="Segoe UI" w:cs="Segoe UI"/>
      <w:sz w:val="18"/>
      <w:szCs w:val="18"/>
    </w:rPr>
  </w:style>
  <w:style w:type="character" w:styleId="CommentReference">
    <w:name w:val="annotation reference"/>
    <w:basedOn w:val="DefaultParagraphFont"/>
    <w:uiPriority w:val="99"/>
    <w:semiHidden/>
    <w:unhideWhenUsed/>
    <w:rsid w:val="000B5021"/>
    <w:rPr>
      <w:sz w:val="16"/>
      <w:szCs w:val="16"/>
    </w:rPr>
  </w:style>
  <w:style w:type="paragraph" w:styleId="CommentText">
    <w:name w:val="annotation text"/>
    <w:basedOn w:val="Normal"/>
    <w:link w:val="CommentTextChar"/>
    <w:uiPriority w:val="99"/>
    <w:semiHidden/>
    <w:unhideWhenUsed/>
    <w:rsid w:val="000B5021"/>
    <w:pPr>
      <w:spacing w:line="240" w:lineRule="auto"/>
    </w:pPr>
    <w:rPr>
      <w:sz w:val="20"/>
      <w:szCs w:val="20"/>
    </w:rPr>
  </w:style>
  <w:style w:type="character" w:customStyle="1" w:styleId="CommentTextChar">
    <w:name w:val="Comment Text Char"/>
    <w:basedOn w:val="DefaultParagraphFont"/>
    <w:link w:val="CommentText"/>
    <w:uiPriority w:val="99"/>
    <w:semiHidden/>
    <w:rsid w:val="000B5021"/>
    <w:rPr>
      <w:sz w:val="20"/>
      <w:szCs w:val="20"/>
    </w:rPr>
  </w:style>
  <w:style w:type="paragraph" w:styleId="CommentSubject">
    <w:name w:val="annotation subject"/>
    <w:basedOn w:val="CommentText"/>
    <w:next w:val="CommentText"/>
    <w:link w:val="CommentSubjectChar"/>
    <w:uiPriority w:val="99"/>
    <w:semiHidden/>
    <w:unhideWhenUsed/>
    <w:rsid w:val="000B5021"/>
    <w:rPr>
      <w:b/>
      <w:bCs/>
    </w:rPr>
  </w:style>
  <w:style w:type="character" w:customStyle="1" w:styleId="CommentSubjectChar">
    <w:name w:val="Comment Subject Char"/>
    <w:basedOn w:val="CommentTextChar"/>
    <w:link w:val="CommentSubject"/>
    <w:uiPriority w:val="99"/>
    <w:semiHidden/>
    <w:rsid w:val="000B5021"/>
    <w:rPr>
      <w:b/>
      <w:bCs/>
      <w:sz w:val="20"/>
      <w:szCs w:val="20"/>
    </w:rPr>
  </w:style>
  <w:style w:type="paragraph" w:styleId="Header">
    <w:name w:val="header"/>
    <w:basedOn w:val="Normal"/>
    <w:link w:val="HeaderChar"/>
    <w:uiPriority w:val="99"/>
    <w:unhideWhenUsed/>
    <w:rsid w:val="00380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592"/>
  </w:style>
  <w:style w:type="paragraph" w:styleId="Footer">
    <w:name w:val="footer"/>
    <w:basedOn w:val="Normal"/>
    <w:link w:val="FooterChar"/>
    <w:uiPriority w:val="99"/>
    <w:unhideWhenUsed/>
    <w:rsid w:val="00380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2A49-0469-4E40-80C7-4FD7F8F6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Kruger</dc:creator>
  <cp:keywords/>
  <dc:description/>
  <cp:lastModifiedBy>Maureen Litchfield</cp:lastModifiedBy>
  <cp:revision>2</cp:revision>
  <dcterms:created xsi:type="dcterms:W3CDTF">2018-07-31T09:19:00Z</dcterms:created>
  <dcterms:modified xsi:type="dcterms:W3CDTF">2018-07-31T09:19:00Z</dcterms:modified>
</cp:coreProperties>
</file>